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PG-5.310: Capital Assets</w:t>
      </w:r>
    </w:p>
    <w:p w:rsidR="00000000" w:rsidDel="00000000" w:rsidP="00000000" w:rsidRDefault="00000000" w:rsidRPr="00000000" w14:paraId="00000002">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business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Academy Alameda School for Art + Design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12.107, 12.128 and 45.105(c);</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100.1063;</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Federal Regulations, Title 2, Part 200 (“2 CFR 200”); and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Capital Assets.</w:t>
      </w:r>
    </w:p>
    <w:p w:rsidR="00000000" w:rsidDel="00000000" w:rsidP="00000000" w:rsidRDefault="00000000" w:rsidRPr="00000000" w14:paraId="0000000E">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 Assets Defined.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assets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tangible or intangible item of property acquired by the School, regardless of funding source used or if donated, with a cost of $5,000 or more and a useful life of greater than one (1) year at the time of acquisition.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broad range of capital assets that are used in operations, include: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 property, including land, buildings and improvements to land and buildings;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Leasehold improvements; and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property, including:</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728"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Furniture and equipment, including computer hardware;</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728"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software;</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728"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rights, intellectual property (such as copyrights, patents, and trademarks) and other intangible property;</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728"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Vehicles; and</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728" w:right="0" w:hanging="50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form of personal property recognized by Texas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Capitalized Costs.</w:t>
      </w:r>
    </w:p>
    <w:p w:rsidR="00000000" w:rsidDel="00000000" w:rsidP="00000000" w:rsidRDefault="00000000" w:rsidRPr="00000000" w14:paraId="0000001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capitalize costs incurred for the acquisition of an asset in a manner consistent with generally accepted accounting principles. At a minimum, the School shall capitalize an asset’s purchase price and any expenses incurred for ancillary activities (e.g., site preparation, transportation and installation) to bring the asset to the condition and location necessary for its intended use.</w:t>
      </w:r>
    </w:p>
    <w:p w:rsidR="00000000" w:rsidDel="00000000" w:rsidP="00000000" w:rsidRDefault="00000000" w:rsidRPr="00000000" w14:paraId="0000001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capitalize the fair market value of donated assets as of the date that the asset was donated.</w:t>
      </w:r>
    </w:p>
    <w:p w:rsidR="00000000" w:rsidDel="00000000" w:rsidP="00000000" w:rsidRDefault="00000000" w:rsidRPr="00000000" w14:paraId="000000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capitalize the acquisition cost of an asset or the fair market value of a donated asset if the asset at the time of acquisition or donation has a useful life of more than one (1) year.</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capitalize the cost of improvements to property if the improvements: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Extend the useful life of the asset;</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Enhance the overall value of the asset; or</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 the asset so that it may be repurposed.</w:t>
      </w:r>
    </w:p>
    <w:p w:rsidR="00000000" w:rsidDel="00000000" w:rsidP="00000000" w:rsidRDefault="00000000" w:rsidRPr="00000000" w14:paraId="00000020">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Capitalization Thresholds.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capitalize the cost of acquiring an asset if the cost per unit equals or exceeds the following amounts.</w:t>
      </w:r>
    </w:p>
    <w:tbl>
      <w:tblPr>
        <w:tblStyle w:val="Table1"/>
        <w:tblW w:w="6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2880"/>
        <w:tblGridChange w:id="0">
          <w:tblGrid>
            <w:gridCol w:w="3600"/>
            <w:gridCol w:w="2880"/>
          </w:tblGrid>
        </w:tblGridChange>
      </w:tblGrid>
      <w:tr>
        <w:trPr>
          <w:cantSplit w:val="1"/>
          <w:tblHeader w:val="1"/>
        </w:trPr>
        <w:tc>
          <w:tcPr>
            <w:shd w:fill="auto" w:val="clear"/>
            <w:vAlign w:val="center"/>
          </w:tcPr>
          <w:p w:rsidR="00000000" w:rsidDel="00000000" w:rsidP="00000000" w:rsidRDefault="00000000" w:rsidRPr="00000000" w14:paraId="00000022">
            <w:pPr>
              <w:spacing w:line="276" w:lineRule="auto"/>
              <w:jc w:val="center"/>
              <w:rPr/>
            </w:pPr>
            <w:r w:rsidDel="00000000" w:rsidR="00000000" w:rsidRPr="00000000">
              <w:rPr>
                <w:rtl w:val="0"/>
              </w:rPr>
              <w:t xml:space="preserve">Property Description</w:t>
            </w:r>
          </w:p>
        </w:tc>
        <w:tc>
          <w:tcPr>
            <w:shd w:fill="auto" w:val="clear"/>
            <w:vAlign w:val="center"/>
          </w:tcPr>
          <w:p w:rsidR="00000000" w:rsidDel="00000000" w:rsidP="00000000" w:rsidRDefault="00000000" w:rsidRPr="00000000" w14:paraId="00000023">
            <w:pPr>
              <w:spacing w:line="276" w:lineRule="auto"/>
              <w:jc w:val="center"/>
              <w:rPr/>
            </w:pPr>
            <w:r w:rsidDel="00000000" w:rsidR="00000000" w:rsidRPr="00000000">
              <w:rPr>
                <w:rtl w:val="0"/>
              </w:rPr>
              <w:t xml:space="preserve">Capitalization Threshold</w:t>
            </w:r>
          </w:p>
        </w:tc>
      </w:tr>
      <w:tr>
        <w:trPr>
          <w:cantSplit w:val="0"/>
          <w:tblHeader w:val="0"/>
        </w:trPr>
        <w:tc>
          <w:tcPr>
            <w:shd w:fill="auto" w:val="clear"/>
            <w:vAlign w:val="center"/>
          </w:tcPr>
          <w:p w:rsidR="00000000" w:rsidDel="00000000" w:rsidP="00000000" w:rsidRDefault="00000000" w:rsidRPr="00000000" w14:paraId="00000024">
            <w:pPr>
              <w:spacing w:line="276" w:lineRule="auto"/>
              <w:rPr/>
            </w:pPr>
            <w:r w:rsidDel="00000000" w:rsidR="00000000" w:rsidRPr="00000000">
              <w:rPr>
                <w:rtl w:val="0"/>
              </w:rPr>
              <w:t xml:space="preserve">Land</w:t>
            </w:r>
          </w:p>
        </w:tc>
        <w:tc>
          <w:tcPr>
            <w:shd w:fill="auto" w:val="clear"/>
            <w:vAlign w:val="center"/>
          </w:tcPr>
          <w:p w:rsidR="00000000" w:rsidDel="00000000" w:rsidP="00000000" w:rsidRDefault="00000000" w:rsidRPr="00000000" w14:paraId="00000025">
            <w:pPr>
              <w:ind w:right="1080"/>
              <w:jc w:val="right"/>
              <w:rPr/>
            </w:pPr>
            <w:r w:rsidDel="00000000" w:rsidR="00000000" w:rsidRPr="00000000">
              <w:rPr>
                <w:rtl w:val="0"/>
              </w:rPr>
              <w:t xml:space="preserve">$0</w:t>
            </w:r>
          </w:p>
        </w:tc>
      </w:tr>
      <w:tr>
        <w:trPr>
          <w:cantSplit w:val="0"/>
          <w:tblHeader w:val="0"/>
        </w:trPr>
        <w:tc>
          <w:tcPr>
            <w:shd w:fill="auto" w:val="clear"/>
            <w:vAlign w:val="center"/>
          </w:tcPr>
          <w:p w:rsidR="00000000" w:rsidDel="00000000" w:rsidP="00000000" w:rsidRDefault="00000000" w:rsidRPr="00000000" w14:paraId="00000026">
            <w:pPr>
              <w:spacing w:line="276" w:lineRule="auto"/>
              <w:rPr/>
            </w:pPr>
            <w:r w:rsidDel="00000000" w:rsidR="00000000" w:rsidRPr="00000000">
              <w:rPr>
                <w:rtl w:val="0"/>
              </w:rPr>
              <w:t xml:space="preserve">Improvements to land</w:t>
            </w:r>
          </w:p>
        </w:tc>
        <w:tc>
          <w:tcPr>
            <w:shd w:fill="auto" w:val="clear"/>
            <w:vAlign w:val="center"/>
          </w:tcPr>
          <w:p w:rsidR="00000000" w:rsidDel="00000000" w:rsidP="00000000" w:rsidRDefault="00000000" w:rsidRPr="00000000" w14:paraId="00000027">
            <w:pPr>
              <w:ind w:right="1080"/>
              <w:jc w:val="right"/>
              <w:rPr/>
            </w:pPr>
            <w:r w:rsidDel="00000000" w:rsidR="00000000" w:rsidRPr="00000000">
              <w:rPr>
                <w:rtl w:val="0"/>
              </w:rPr>
              <w:t xml:space="preserve">$50,000</w:t>
            </w:r>
          </w:p>
        </w:tc>
      </w:tr>
      <w:tr>
        <w:trPr>
          <w:cantSplit w:val="0"/>
          <w:tblHeader w:val="0"/>
        </w:trPr>
        <w:tc>
          <w:tcPr>
            <w:shd w:fill="auto" w:val="clear"/>
            <w:vAlign w:val="center"/>
          </w:tcPr>
          <w:p w:rsidR="00000000" w:rsidDel="00000000" w:rsidP="00000000" w:rsidRDefault="00000000" w:rsidRPr="00000000" w14:paraId="00000028">
            <w:pPr>
              <w:spacing w:line="276" w:lineRule="auto"/>
              <w:rPr/>
            </w:pPr>
            <w:r w:rsidDel="00000000" w:rsidR="00000000" w:rsidRPr="00000000">
              <w:rPr>
                <w:rtl w:val="0"/>
              </w:rPr>
              <w:t xml:space="preserve">Buildings</w:t>
            </w:r>
          </w:p>
        </w:tc>
        <w:tc>
          <w:tcPr>
            <w:shd w:fill="auto" w:val="clear"/>
            <w:vAlign w:val="center"/>
          </w:tcPr>
          <w:p w:rsidR="00000000" w:rsidDel="00000000" w:rsidP="00000000" w:rsidRDefault="00000000" w:rsidRPr="00000000" w14:paraId="00000029">
            <w:pPr>
              <w:ind w:right="1080"/>
              <w:jc w:val="right"/>
              <w:rPr/>
            </w:pPr>
            <w:r w:rsidDel="00000000" w:rsidR="00000000" w:rsidRPr="00000000">
              <w:rPr>
                <w:rtl w:val="0"/>
              </w:rPr>
              <w:t xml:space="preserve">$50,000</w:t>
            </w:r>
          </w:p>
        </w:tc>
      </w:tr>
      <w:tr>
        <w:trPr>
          <w:cantSplit w:val="0"/>
          <w:tblHeader w:val="0"/>
        </w:trPr>
        <w:tc>
          <w:tcPr>
            <w:shd w:fill="auto" w:val="clear"/>
            <w:vAlign w:val="center"/>
          </w:tcPr>
          <w:p w:rsidR="00000000" w:rsidDel="00000000" w:rsidP="00000000" w:rsidRDefault="00000000" w:rsidRPr="00000000" w14:paraId="0000002A">
            <w:pPr>
              <w:spacing w:line="276" w:lineRule="auto"/>
              <w:rPr/>
            </w:pPr>
            <w:r w:rsidDel="00000000" w:rsidR="00000000" w:rsidRPr="00000000">
              <w:rPr>
                <w:rtl w:val="0"/>
              </w:rPr>
              <w:t xml:space="preserve">Improvements to buildings</w:t>
            </w:r>
          </w:p>
        </w:tc>
        <w:tc>
          <w:tcPr>
            <w:shd w:fill="auto" w:val="clear"/>
            <w:vAlign w:val="center"/>
          </w:tcPr>
          <w:p w:rsidR="00000000" w:rsidDel="00000000" w:rsidP="00000000" w:rsidRDefault="00000000" w:rsidRPr="00000000" w14:paraId="0000002B">
            <w:pPr>
              <w:ind w:right="1080"/>
              <w:jc w:val="right"/>
              <w:rPr/>
            </w:pPr>
            <w:r w:rsidDel="00000000" w:rsidR="00000000" w:rsidRPr="00000000">
              <w:rPr>
                <w:rtl w:val="0"/>
              </w:rPr>
              <w:t xml:space="preserve">$50,000</w:t>
            </w:r>
          </w:p>
        </w:tc>
      </w:tr>
      <w:tr>
        <w:trPr>
          <w:cantSplit w:val="0"/>
          <w:tblHeader w:val="0"/>
        </w:trPr>
        <w:tc>
          <w:tcPr>
            <w:shd w:fill="auto" w:val="clear"/>
            <w:vAlign w:val="center"/>
          </w:tcPr>
          <w:p w:rsidR="00000000" w:rsidDel="00000000" w:rsidP="00000000" w:rsidRDefault="00000000" w:rsidRPr="00000000" w14:paraId="0000002C">
            <w:pPr>
              <w:spacing w:line="276" w:lineRule="auto"/>
              <w:rPr/>
            </w:pPr>
            <w:r w:rsidDel="00000000" w:rsidR="00000000" w:rsidRPr="00000000">
              <w:rPr>
                <w:rtl w:val="0"/>
              </w:rPr>
              <w:t xml:space="preserve">Leasehold improvements</w:t>
            </w:r>
          </w:p>
        </w:tc>
        <w:tc>
          <w:tcPr>
            <w:shd w:fill="auto" w:val="clear"/>
            <w:vAlign w:val="center"/>
          </w:tcPr>
          <w:p w:rsidR="00000000" w:rsidDel="00000000" w:rsidP="00000000" w:rsidRDefault="00000000" w:rsidRPr="00000000" w14:paraId="0000002D">
            <w:pPr>
              <w:ind w:right="1080"/>
              <w:jc w:val="right"/>
              <w:rPr/>
            </w:pPr>
            <w:r w:rsidDel="00000000" w:rsidR="00000000" w:rsidRPr="00000000">
              <w:rPr>
                <w:rtl w:val="0"/>
              </w:rPr>
              <w:t xml:space="preserve">$50,000</w:t>
            </w:r>
          </w:p>
        </w:tc>
      </w:tr>
      <w:tr>
        <w:trPr>
          <w:cantSplit w:val="0"/>
          <w:tblHeader w:val="0"/>
        </w:trPr>
        <w:tc>
          <w:tcPr>
            <w:shd w:fill="auto" w:val="clear"/>
            <w:vAlign w:val="center"/>
          </w:tcPr>
          <w:p w:rsidR="00000000" w:rsidDel="00000000" w:rsidP="00000000" w:rsidRDefault="00000000" w:rsidRPr="00000000" w14:paraId="0000002E">
            <w:pPr>
              <w:spacing w:line="276" w:lineRule="auto"/>
              <w:rPr/>
            </w:pPr>
            <w:r w:rsidDel="00000000" w:rsidR="00000000" w:rsidRPr="00000000">
              <w:rPr>
                <w:rtl w:val="0"/>
              </w:rPr>
              <w:t xml:space="preserve">Construction in progress</w:t>
            </w:r>
          </w:p>
        </w:tc>
        <w:tc>
          <w:tcPr>
            <w:shd w:fill="auto" w:val="clear"/>
            <w:vAlign w:val="center"/>
          </w:tcPr>
          <w:p w:rsidR="00000000" w:rsidDel="00000000" w:rsidP="00000000" w:rsidRDefault="00000000" w:rsidRPr="00000000" w14:paraId="0000002F">
            <w:pPr>
              <w:ind w:right="1080"/>
              <w:jc w:val="right"/>
              <w:rPr/>
            </w:pPr>
            <w:r w:rsidDel="00000000" w:rsidR="00000000" w:rsidRPr="00000000">
              <w:rPr>
                <w:rtl w:val="0"/>
              </w:rPr>
              <w:t xml:space="preserve">$50,000</w:t>
            </w:r>
          </w:p>
        </w:tc>
      </w:tr>
      <w:tr>
        <w:trPr>
          <w:cantSplit w:val="0"/>
          <w:tblHeader w:val="0"/>
        </w:trPr>
        <w:tc>
          <w:tcPr>
            <w:shd w:fill="auto" w:val="clear"/>
            <w:vAlign w:val="center"/>
          </w:tcPr>
          <w:p w:rsidR="00000000" w:rsidDel="00000000" w:rsidP="00000000" w:rsidRDefault="00000000" w:rsidRPr="00000000" w14:paraId="00000030">
            <w:pPr>
              <w:spacing w:line="276" w:lineRule="auto"/>
              <w:rPr/>
            </w:pPr>
            <w:r w:rsidDel="00000000" w:rsidR="00000000" w:rsidRPr="00000000">
              <w:rPr>
                <w:rtl w:val="0"/>
              </w:rPr>
              <w:t xml:space="preserve">Furniture and equipment</w:t>
            </w:r>
          </w:p>
        </w:tc>
        <w:tc>
          <w:tcPr>
            <w:shd w:fill="auto" w:val="clear"/>
            <w:vAlign w:val="center"/>
          </w:tcPr>
          <w:p w:rsidR="00000000" w:rsidDel="00000000" w:rsidP="00000000" w:rsidRDefault="00000000" w:rsidRPr="00000000" w14:paraId="00000031">
            <w:pPr>
              <w:ind w:right="1080"/>
              <w:jc w:val="right"/>
              <w:rPr/>
            </w:pPr>
            <w:r w:rsidDel="00000000" w:rsidR="00000000" w:rsidRPr="00000000">
              <w:rPr>
                <w:rtl w:val="0"/>
              </w:rPr>
              <w:t xml:space="preserve">$5,000</w:t>
            </w:r>
          </w:p>
        </w:tc>
      </w:tr>
      <w:tr>
        <w:trPr>
          <w:cantSplit w:val="0"/>
          <w:tblHeader w:val="0"/>
        </w:trPr>
        <w:tc>
          <w:tcPr>
            <w:shd w:fill="auto" w:val="clear"/>
            <w:vAlign w:val="center"/>
          </w:tcPr>
          <w:p w:rsidR="00000000" w:rsidDel="00000000" w:rsidP="00000000" w:rsidRDefault="00000000" w:rsidRPr="00000000" w14:paraId="00000032">
            <w:pPr>
              <w:spacing w:line="276" w:lineRule="auto"/>
              <w:rPr/>
            </w:pPr>
            <w:r w:rsidDel="00000000" w:rsidR="00000000" w:rsidRPr="00000000">
              <w:rPr>
                <w:rtl w:val="0"/>
              </w:rPr>
              <w:t xml:space="preserve">Vehicles</w:t>
            </w:r>
          </w:p>
        </w:tc>
        <w:tc>
          <w:tcPr>
            <w:shd w:fill="auto" w:val="clear"/>
            <w:vAlign w:val="center"/>
          </w:tcPr>
          <w:p w:rsidR="00000000" w:rsidDel="00000000" w:rsidP="00000000" w:rsidRDefault="00000000" w:rsidRPr="00000000" w14:paraId="00000033">
            <w:pPr>
              <w:ind w:right="1080"/>
              <w:jc w:val="right"/>
              <w:rPr/>
            </w:pPr>
            <w:r w:rsidDel="00000000" w:rsidR="00000000" w:rsidRPr="00000000">
              <w:rPr>
                <w:rtl w:val="0"/>
              </w:rPr>
              <w:t xml:space="preserve">$5,000</w:t>
            </w:r>
          </w:p>
        </w:tc>
      </w:tr>
      <w:tr>
        <w:trPr>
          <w:cantSplit w:val="0"/>
          <w:tblHeader w:val="0"/>
        </w:trPr>
        <w:tc>
          <w:tcPr>
            <w:shd w:fill="auto" w:val="clear"/>
            <w:vAlign w:val="center"/>
          </w:tcPr>
          <w:p w:rsidR="00000000" w:rsidDel="00000000" w:rsidP="00000000" w:rsidRDefault="00000000" w:rsidRPr="00000000" w14:paraId="00000034">
            <w:pPr>
              <w:spacing w:line="276" w:lineRule="auto"/>
              <w:rPr/>
            </w:pPr>
            <w:r w:rsidDel="00000000" w:rsidR="00000000" w:rsidRPr="00000000">
              <w:rPr>
                <w:rtl w:val="0"/>
              </w:rPr>
              <w:t xml:space="preserve">Other personal property</w:t>
            </w:r>
          </w:p>
        </w:tc>
        <w:tc>
          <w:tcPr>
            <w:shd w:fill="auto" w:val="clear"/>
            <w:vAlign w:val="center"/>
          </w:tcPr>
          <w:p w:rsidR="00000000" w:rsidDel="00000000" w:rsidP="00000000" w:rsidRDefault="00000000" w:rsidRPr="00000000" w14:paraId="00000035">
            <w:pPr>
              <w:ind w:right="1080"/>
              <w:jc w:val="right"/>
              <w:rPr/>
            </w:pPr>
            <w:r w:rsidDel="00000000" w:rsidR="00000000" w:rsidRPr="00000000">
              <w:rPr>
                <w:rtl w:val="0"/>
              </w:rPr>
              <w:t xml:space="preserve">$5,000</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Required.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approve all purchases of real property, the purchase of construction services for a new building or the renovation of an existing building, and the acquisition of personal property requiring the execution of a contract. Refer to the Board’s Policy relating to Purchasing.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Superintendent its authority for construction, renovations or repairs pursuant to Education Code § 44.0312 by written resolution, with such delegation to a person, representatives or committee, but shall provide notice of this delegation and the limits of the delegation as required by law and include the same in all request for bids, proposals or qualifications or as an addendum to a request.  Failure to comply with the legal requirements will render and decision not made by the Board an advisory/recommendation only and shall not be binding on the Board or charter school. </w:t>
      </w:r>
      <w:r w:rsidDel="00000000" w:rsidR="00000000" w:rsidRPr="00000000">
        <w:rPr>
          <w:rtl w:val="0"/>
        </w:rPr>
      </w:r>
    </w:p>
    <w:p w:rsidR="00000000" w:rsidDel="00000000" w:rsidP="00000000" w:rsidRDefault="00000000" w:rsidRPr="00000000" w14:paraId="0000003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Depreciation.</w:t>
      </w:r>
    </w:p>
    <w:p w:rsidR="00000000" w:rsidDel="00000000" w:rsidP="00000000" w:rsidRDefault="00000000" w:rsidRPr="00000000" w14:paraId="0000003B">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Authorized Method of Depreciation.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than the capitalized cost for land, the School shall utilize the straight-line method of depreciation to amortize the capitalized costs of all asserts over their useful life. Consistent with generally accepted accounting principles, the School shall calculate the annual depreciation of capitalized costs 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Capitalized Cost of Asset – Salvage Value ) ÷ Estimated Useful Life</w:t>
      </w:r>
    </w:p>
    <w:p w:rsidR="00000000" w:rsidDel="00000000" w:rsidP="00000000" w:rsidRDefault="00000000" w:rsidRPr="00000000" w14:paraId="0000003E">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Useful Life.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Consistent with generally accepted accounting principles, the useful life of an asset means the period during which the asset is projected to generate revenue or provide other valuable service to the School and not how long the asset will last. Generally, the School shall observe the following useful life for each type of capital asset.</w:t>
      </w:r>
    </w:p>
    <w:tbl>
      <w:tblPr>
        <w:tblStyle w:val="Table2"/>
        <w:tblW w:w="6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2880"/>
        <w:tblGridChange w:id="0">
          <w:tblGrid>
            <w:gridCol w:w="3240"/>
            <w:gridCol w:w="2880"/>
          </w:tblGrid>
        </w:tblGridChange>
      </w:tblGrid>
      <w:tr>
        <w:trPr>
          <w:cantSplit w:val="0"/>
          <w:tblHeader w:val="0"/>
        </w:trPr>
        <w:tc>
          <w:tcPr>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w:t>
            </w:r>
          </w:p>
        </w:tc>
        <w:tc>
          <w:tcPr>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Useful Life</w:t>
            </w:r>
          </w:p>
        </w:tc>
      </w:tr>
      <w:tr>
        <w:trPr>
          <w:cantSplit w:val="0"/>
          <w:tblHeader w:val="0"/>
        </w:trPr>
        <w:tc>
          <w:tcPr>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w:t>
            </w:r>
          </w:p>
        </w:tc>
        <w:tc>
          <w:tcPr>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Perpetual</w:t>
            </w:r>
          </w:p>
        </w:tc>
      </w:tr>
      <w:tr>
        <w:trPr>
          <w:cantSplit w:val="0"/>
          <w:tblHeader w:val="0"/>
        </w:trPr>
        <w:tc>
          <w:tcPr>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Improvements to land</w:t>
            </w:r>
          </w:p>
        </w:tc>
        <w:tc>
          <w:tcPr>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Buildings</w:t>
            </w:r>
          </w:p>
        </w:tc>
        <w:tc>
          <w:tcPr>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Modular Buildings</w:t>
            </w:r>
          </w:p>
        </w:tc>
        <w:tc>
          <w:tcPr>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Improvements to buildings</w:t>
            </w:r>
          </w:p>
        </w:tc>
        <w:tc>
          <w:tcPr>
            <w:shd w:fill="auto"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Remaining useful life of the building</w:t>
            </w:r>
          </w:p>
        </w:tc>
      </w:tr>
      <w:tr>
        <w:trPr>
          <w:cantSplit w:val="0"/>
          <w:tblHeader w:val="0"/>
        </w:trPr>
        <w:tc>
          <w:tcPr>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Leasehold improvements</w:t>
            </w:r>
          </w:p>
        </w:tc>
        <w:tc>
          <w:tcPr>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 term</w:t>
            </w:r>
          </w:p>
        </w:tc>
      </w:tr>
      <w:tr>
        <w:trPr>
          <w:cantSplit w:val="0"/>
          <w:tblHeader w:val="0"/>
        </w:trPr>
        <w:tc>
          <w:tcPr>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HVAC systems</w:t>
            </w:r>
          </w:p>
        </w:tc>
        <w:tc>
          <w:tcPr>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Electrical/Plumbing</w:t>
            </w:r>
          </w:p>
        </w:tc>
        <w:tc>
          <w:tcPr>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shd w:fill="auto"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Roofing</w:t>
            </w:r>
          </w:p>
        </w:tc>
        <w:tc>
          <w:tcPr>
            <w:shd w:fill="auto"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Carpet replacement</w:t>
            </w:r>
          </w:p>
        </w:tc>
        <w:tc>
          <w:tcPr>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Cabling</w:t>
            </w:r>
          </w:p>
        </w:tc>
        <w:tc>
          <w:tcPr>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hardware</w:t>
            </w:r>
          </w:p>
        </w:tc>
        <w:tc>
          <w:tcPr>
            <w:shd w:fill="auto"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software</w:t>
            </w:r>
          </w:p>
        </w:tc>
        <w:tc>
          <w:tcPr>
            <w:shd w:fill="auto"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blHeader w:val="0"/>
        </w:trPr>
        <w:tc>
          <w:tcPr>
            <w:shd w:fill="auto"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Duplicating equipment</w:t>
            </w:r>
          </w:p>
        </w:tc>
        <w:tc>
          <w:tcPr>
            <w:shd w:fill="auto"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shd w:fill="auto"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Custodial equipment</w:t>
            </w:r>
          </w:p>
        </w:tc>
        <w:tc>
          <w:tcPr>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and classroom furniture, fixtures and equipment</w:t>
            </w:r>
          </w:p>
        </w:tc>
        <w:tc>
          <w:tcPr>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equipment</w:t>
            </w:r>
          </w:p>
        </w:tc>
        <w:tc>
          <w:tcPr>
            <w:shd w:fill="auto"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Kitchen equipment</w:t>
            </w:r>
          </w:p>
        </w:tc>
        <w:tc>
          <w:tcPr>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Audio-Visual equipment</w:t>
            </w:r>
          </w:p>
        </w:tc>
        <w:tc>
          <w:tcPr>
            <w:shd w:fill="auto"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blHeader w:val="0"/>
        </w:trPr>
        <w:tc>
          <w:tcPr>
            <w:shd w:fill="auto"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Vehicles</w:t>
            </w:r>
          </w:p>
        </w:tc>
        <w:tc>
          <w:tcPr>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 Inventory of Assets.</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maintain an inventory of all capital assets and of the following non-capital assets (“Sec. 511 Assets”):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Desktop computers,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Laptops,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Notebooks,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Smartphones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Tablets, and</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64" w:right="0" w:hanging="504"/>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computing devices.</w:t>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affix upon Sec. 511 Assets a permanent, machine-readable label that clearly identifies the asset as School property and uniquely accounts for the asset in the School’s inventory records.</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designee(s) shall annually conduct a physical inventory of Sec. 511 Assets and shall ensure appropriate corrective or other measures, including reports to law enforcement, are undertaken for any Sec. 511 Assets that are not located.</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change in campus principal or central office administrator occurs, the Superintendent or designee and the outgoing principal or administrator shall conduct a joint inventory of Sec. 511 Assets.</w:t>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maintain accurate, complete, and up-to-date records of all capital assets through physical counts, the review of purchase records, and other methods, as deemed appropriate and necessary.</w:t>
      </w:r>
    </w:p>
    <w:p w:rsidR="00000000" w:rsidDel="00000000" w:rsidP="00000000" w:rsidRDefault="00000000" w:rsidRPr="00000000" w14:paraId="0000007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Safeguarding of Assets.</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ensure that Sec. 511 Assets are safeguarded.</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adopt a system for transferring assets assigned to a campus or department to another campus or department.</w:t>
      </w:r>
    </w:p>
    <w:p w:rsidR="00000000" w:rsidDel="00000000" w:rsidP="00000000" w:rsidRDefault="00000000" w:rsidRPr="00000000" w14:paraId="0000007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Disposition of Capital Assets.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for real property, the Superintendent is authorized, by any means commonly used, to dispose of assets that have concluded their useful life, are obsolete or deemed unnecessary, are damaged beyond repair or deemed too costly to repair or are lost or stolen. If an asset is still serviceable, the Superintendent or designee shall first determine if a need for the asset exists elsewhere within the School before disposing of the asset.</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shall authorize any disposal of assets through a donation to another charitable, tax-exempt organization. For donations to charitable organizations, the Board shall obtain a written assurance from the organization to which the asset is being donated that it will use the donated asset for a public purpose and shall stipulate that, as a condition of the donation, ownership of the asset shall revert to School if the recipient organization discontinues using the asset for a public purpose.</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asset is disposed of through a sale, the Superintendent or designee shall sell the asset for fair market value and shall attribute any proceeds to the originating fund source. As a condition of selling the asset, the School shall make no warranties or guarantees concerning the continued functionality of the asset.</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following order of precedence, the Superintendent or designee may sell assets to students, teachers and educational aides, parents, other School, personnel, and the public at large. In doing so, the Superintendent or designee shall not act in a manner that is or appears to be preferential to any one individual, except as indicated in the order of precedence set forth in this section.</w:t>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asset has no value, the Superintendent or designee may dispose of the asset as deemed administratively expedient.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adopt a system for the documented disposal of assets, including the Superintendent’s approval for the disposal of any capital asset with a fair market or residual value exceeding $5,000 per unit.</w:t>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final disposal of an asset, the Superintendent or designee shall remove or cause to have removed any School emblems and other identifying information, such as license plates and inventory tags, from the asset. Additionally, any computing device shall have its storage mediums permanently erased of any software owned or subscribed to by the School and of any data, especially personally identifiable data pertaining to students and staff.</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personnel are prohibited from receiving, through sale or otherwise, any asset that is to be disposed except as established under this policy and pursuant to the administrative procedures adopted under this policy.</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dispose of assets acquired with federal funds in accordance with applicable federal regulations and grantor agency policy and grant requirements.</w:t>
      </w:r>
    </w:p>
    <w:p w:rsidR="00000000" w:rsidDel="00000000" w:rsidP="00000000" w:rsidRDefault="00000000" w:rsidRPr="00000000" w14:paraId="00000084">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School officers and employees on the requirements of this policy and any administrative procedure(s) adopted to implement this policy. Additionally, the Superintendent or designee shall keep School officers and employees informed of any changes to this policy and related requirements.</w:t>
      </w:r>
    </w:p>
    <w:p w:rsidR="00000000" w:rsidDel="00000000" w:rsidP="00000000" w:rsidRDefault="00000000" w:rsidRPr="00000000" w14:paraId="0000008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8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it became effective on January 9, 2024.</w:t>
      </w:r>
    </w:p>
    <w:p w:rsidR="00000000" w:rsidDel="00000000" w:rsidP="00000000" w:rsidRDefault="00000000" w:rsidRPr="00000000" w14:paraId="0000008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1"/>
          <w:strike w:val="0"/>
          <w:color w:val="000000"/>
          <w:sz w:val="24"/>
          <w:szCs w:val="24"/>
          <w:u w:val="singl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 in accordance with state law.</w:t>
      </w:r>
    </w:p>
    <w:p w:rsidR="00000000" w:rsidDel="00000000" w:rsidP="00000000" w:rsidRDefault="00000000" w:rsidRPr="00000000" w14:paraId="0000008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Accounts Payable, as originally adopted by the Board on January 9, 2024, which Policy is in full force and effect and has not been revoked or amended.</w:t>
      </w: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3546518</wp:posOffset>
            </wp:positionV>
            <wp:extent cx="1192039" cy="46507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8F">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90">
      <w:pPr>
        <w:keepNext w:val="1"/>
        <w:jc w:val="both"/>
        <w:rPr/>
      </w:pPr>
      <w:r w:rsidDel="00000000" w:rsidR="00000000" w:rsidRPr="00000000">
        <w:rPr>
          <w:rtl w:val="0"/>
        </w:rPr>
        <w:t xml:space="preserve">January 9, 2024</w:t>
      </w:r>
    </w:p>
    <w:p w:rsidR="00000000" w:rsidDel="00000000" w:rsidP="00000000" w:rsidRDefault="00000000" w:rsidRPr="00000000" w14:paraId="00000091">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92">
      <w:pPr>
        <w:spacing w:after="240" w:lineRule="auto"/>
        <w:jc w:val="both"/>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center"/>
      <w:rPr>
        <w:rFonts w:ascii="Times" w:cs="Times" w:eastAsia="Times" w:hAnsi="Times"/>
      </w:rPr>
    </w:pPr>
    <w:r w:rsidDel="00000000" w:rsidR="00000000" w:rsidRPr="00000000">
      <w:rPr>
        <w:rtl w:val="0"/>
      </w:rPr>
    </w:r>
  </w:p>
  <w:tbl>
    <w:tblPr>
      <w:tblStyle w:val="Table4"/>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396aa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center"/>
      <w:rPr>
        <w:rFonts w:ascii="Times" w:cs="Times" w:eastAsia="Times" w:hAnsi="Times"/>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000000"/>
        <w:sz w:val="20"/>
        <w:szCs w:val="20"/>
        <w:u w:val="none"/>
        <w:shd w:fill="auto" w:val="clear"/>
        <w:vertAlign w:val="baseline"/>
      </w:rPr>
    </w:pPr>
    <w:r w:rsidDel="00000000" w:rsidR="00000000" w:rsidRPr="00000000">
      <w:rPr>
        <w:rFonts w:ascii="Times" w:cs="Times" w:eastAsia="Times" w:hAnsi="Times"/>
        <w:b w:val="0"/>
        <w:i w:val="0"/>
        <w:smallCaps w:val="1"/>
        <w:strike w:val="0"/>
        <w:color w:val="000000"/>
        <w:sz w:val="20"/>
        <w:szCs w:val="20"/>
        <w:u w:val="none"/>
        <w:shd w:fill="auto" w:val="clear"/>
        <w:vertAlign w:val="baseline"/>
        <w:rtl w:val="0"/>
      </w:rPr>
      <w:t xml:space="preserve">Page </w:t>
    </w:r>
    <w:r w:rsidDel="00000000" w:rsidR="00000000" w:rsidRPr="00000000">
      <w:rPr>
        <w:rFonts w:ascii="Times" w:cs="Times" w:eastAsia="Times" w:hAnsi="Times"/>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1"/>
        <w:strike w:val="0"/>
        <w:color w:val="000000"/>
        <w:sz w:val="20"/>
        <w:szCs w:val="20"/>
        <w:u w:val="none"/>
        <w:shd w:fill="auto" w:val="clear"/>
        <w:vertAlign w:val="baseline"/>
        <w:rtl w:val="0"/>
      </w:rPr>
      <w:t xml:space="preserve"> of </w:t>
    </w:r>
    <w:r w:rsidDel="00000000" w:rsidR="00000000" w:rsidRPr="00000000">
      <w:rPr>
        <w:rFonts w:ascii="Times" w:cs="Times" w:eastAsia="Times" w:hAnsi="Times"/>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D">
    <w:pPr>
      <w:jc w:val="center"/>
      <w:rPr>
        <w:rFonts w:ascii="Times" w:cs="Times" w:eastAsia="Times" w:hAnsi="Times"/>
        <w:color w:val="396aa0"/>
        <w:sz w:val="20"/>
        <w:szCs w:val="20"/>
      </w:rPr>
    </w:pPr>
    <w:r w:rsidDel="00000000" w:rsidR="00000000" w:rsidRPr="00000000">
      <w:rPr>
        <w:rFonts w:ascii="Times" w:cs="Times" w:eastAsia="Times" w:hAnsi="Times"/>
        <w:color w:val="396aa0"/>
        <w:sz w:val="20"/>
        <w:szCs w:val="20"/>
        <w:rtl w:val="0"/>
      </w:rPr>
      <w:t xml:space="preserve">©2022 SCHULMAN, LOPEZ, HOFFER &amp; ADELSTEIN, LLP. ALL RIGHTS RESERVED.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§12.1054; 19 TAC §§ 100.1131 through 100.1135</w:t>
      </w:r>
    </w:p>
  </w:footnote>
  <w:footnote w:id="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§100.1047(f)</w:t>
      </w:r>
    </w:p>
  </w:footnote>
  <w:footnote w:id="2">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§12.1166</w:t>
      </w:r>
    </w:p>
  </w:footnote>
  <w:footnote w:id="3">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§200.1</w:t>
      </w:r>
    </w:p>
  </w:footnote>
  <w:footnote w:id="4">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§100.1001(6)</w:t>
      </w:r>
    </w:p>
  </w:footnote>
  <w:footnote w:id="5">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Paso Education Initiative, Inc. v. Amex Properties, LLC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385 S.W.3d 701, 706, 708 (Tex. App.–El Paso 2012, pet. denied.); 19 TAC §§ 100.1033(b)(14)(C)(ii) and 100.1101(b)-(c)</w:t>
      </w:r>
    </w:p>
  </w:footnote>
  <w:footnote w:id="6">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An administratively expedient disposal does not result in any additional administrative process beyond documenting the disposal of the asset.</w:t>
      </w:r>
    </w:p>
  </w:footnote>
  <w:footnote w:id="7">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8">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Superintendents or designee to adopt an administrative procedure to implement this policy. Moreover, in accordance with Tex. Bus. Org. Code §§ 3.101 and 22.201, the Board is the governing authority and, as such, manages and directs the School’s business and affairs through Board actions, resolutions and policy.</w:t>
      </w:r>
    </w:p>
  </w:footnote>
  <w:footnote w:id="9">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See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jc w:val="center"/>
      <w:rPr>
        <w:rFonts w:ascii="Times" w:cs="Times" w:eastAsia="Times" w:hAnsi="Times"/>
      </w:rPr>
    </w:pPr>
    <w:r w:rsidDel="00000000" w:rsidR="00000000" w:rsidRPr="00000000">
      <w:rPr>
        <w:rFonts w:ascii="Times" w:cs="Times" w:eastAsia="Times" w:hAnsi="Times"/>
        <w:rtl w:val="0"/>
      </w:rPr>
      <w:t xml:space="preserve">[INSERT CHARTER HOLDER’S NAME HERE.]</w:t>
    </w:r>
  </w:p>
  <w:p w:rsidR="00000000" w:rsidDel="00000000" w:rsidP="00000000" w:rsidRDefault="00000000" w:rsidRPr="00000000" w14:paraId="0000009F">
    <w:pPr>
      <w:jc w:val="center"/>
      <w:rPr>
        <w:rFonts w:ascii="Times" w:cs="Times" w:eastAsia="Times" w:hAnsi="Times"/>
      </w:rPr>
    </w:pPr>
    <w:r w:rsidDel="00000000" w:rsidR="00000000" w:rsidRPr="00000000">
      <w:rPr>
        <w:rFonts w:ascii="Times" w:cs="Times" w:eastAsia="Times" w:hAnsi="Times"/>
        <w:rtl w:val="0"/>
      </w:rPr>
      <w:t xml:space="preserve">DBA</w:t>
    </w:r>
  </w:p>
  <w:p w:rsidR="00000000" w:rsidDel="00000000" w:rsidP="00000000" w:rsidRDefault="00000000" w:rsidRPr="00000000" w14:paraId="000000A0">
    <w:pPr>
      <w:jc w:val="center"/>
      <w:rPr>
        <w:rFonts w:ascii="Times" w:cs="Times" w:eastAsia="Times" w:hAnsi="Times"/>
      </w:rPr>
    </w:pPr>
    <w:r w:rsidDel="00000000" w:rsidR="00000000" w:rsidRPr="00000000">
      <w:rPr>
        <w:rFonts w:ascii="Times" w:cs="Times" w:eastAsia="Times" w:hAnsi="Times"/>
        <w:rtl w:val="0"/>
      </w:rPr>
      <w:t xml:space="preserve">[INSERT CHARTER SCHOOL’S NAME HERE.]</w:t>
    </w:r>
  </w:p>
  <w:p w:rsidR="00000000" w:rsidDel="00000000" w:rsidP="00000000" w:rsidRDefault="00000000" w:rsidRPr="00000000" w14:paraId="000000A1">
    <w:pPr>
      <w:jc w:val="center"/>
      <w:rPr>
        <w:rFonts w:ascii="Times" w:cs="Times" w:eastAsia="Times" w:hAnsi="Times"/>
      </w:rPr>
    </w:pPr>
    <w:r w:rsidDel="00000000" w:rsidR="00000000" w:rsidRPr="00000000">
      <w:rPr>
        <w:rFonts w:ascii="Times" w:cs="Times" w:eastAsia="Times" w:hAnsi="Times"/>
        <w:rtl w:val="0"/>
      </w:rPr>
      <w:t xml:space="preserve">BOARD POLICY MANUAL</w:t>
    </w:r>
  </w:p>
  <w:p w:rsidR="00000000" w:rsidDel="00000000" w:rsidP="00000000" w:rsidRDefault="00000000" w:rsidRPr="00000000" w14:paraId="000000A2">
    <w:pPr>
      <w:jc w:val="center"/>
      <w:rPr>
        <w:rFonts w:ascii="Times" w:cs="Times" w:eastAsia="Times" w:hAnsi="Times"/>
      </w:rPr>
    </w:pPr>
    <w:r w:rsidDel="00000000" w:rsidR="00000000" w:rsidRPr="00000000">
      <w:rPr>
        <w:rFonts w:ascii="Times" w:cs="Times" w:eastAsia="Times" w:hAnsi="Times"/>
        <w:rtl w:val="0"/>
      </w:rPr>
      <w:t xml:space="preserve">POLICY GROUP 5 – FISCAL MANAGEMENT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CAPITAL ASSETS</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PG-5.310</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lowerLetter"/>
      <w:lvlText w:val="(%1)"/>
      <w:lvlJc w:val="left"/>
      <w:pPr>
        <w:ind w:left="864" w:hanging="503.99999999999994"/>
      </w:pPr>
      <w:rPr/>
    </w:lvl>
    <w:lvl w:ilvl="1">
      <w:start w:val="1"/>
      <w:numFmt w:val="decimal"/>
      <w:lvlText w:val="(%2)"/>
      <w:lvlJc w:val="left"/>
      <w:pPr>
        <w:ind w:left="1728" w:hanging="504"/>
      </w:pPr>
      <w:rPr/>
    </w:lvl>
    <w:lvl w:ilvl="2">
      <w:start w:val="1"/>
      <w:numFmt w:val="lowerRoman"/>
      <w:lvlText w:val="(%3)"/>
      <w:lvlJc w:val="left"/>
      <w:pPr>
        <w:ind w:left="2592" w:hanging="504"/>
      </w:pPr>
      <w:rPr/>
    </w:lvl>
    <w:lvl w:ilvl="3">
      <w:start w:val="1"/>
      <w:numFmt w:val="upperLetter"/>
      <w:lvlText w:val="(%4)"/>
      <w:lvlJc w:val="left"/>
      <w:pPr>
        <w:ind w:left="3456" w:hanging="503.99999999999955"/>
      </w:pPr>
      <w:rPr/>
    </w:lvl>
    <w:lvl w:ilvl="4">
      <w:start w:val="1"/>
      <w:numFmt w:val="bullet"/>
      <w:lvlText w:val="●"/>
      <w:lvlJc w:val="left"/>
      <w:pPr>
        <w:ind w:left="4320" w:hanging="504"/>
      </w:pPr>
      <w:rPr>
        <w:rFonts w:ascii="Noto Sans Symbols" w:cs="Noto Sans Symbols" w:eastAsia="Noto Sans Symbols" w:hAnsi="Noto Sans Symbols"/>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Sec. %1."/>
      <w:lvlJc w:val="left"/>
      <w:pPr>
        <w:ind w:left="0" w:firstLine="0"/>
      </w:pPr>
      <w:rPr>
        <w:smallCaps w:val="1"/>
        <w:sz w:val="24"/>
        <w:szCs w:val="24"/>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decimal"/>
      <w:lvlText w:val="Sec. %1.%2.%3.%4.%5.%6."/>
      <w:lvlJc w:val="left"/>
      <w:pPr>
        <w:ind w:left="0" w:firstLine="0"/>
      </w:pPr>
      <w:rPr/>
    </w:lvl>
    <w:lvl w:ilvl="6">
      <w:start w:val="1"/>
      <w:numFmt w:val="decimal"/>
      <w:lvlText w:val="Sec. %1.%2.%3.%4.%5.%6.%7."/>
      <w:lvlJc w:val="left"/>
      <w:pPr>
        <w:ind w:left="0" w:firstLine="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u w:val="single"/>
    </w:rPr>
  </w:style>
  <w:style w:type="paragraph" w:styleId="Heading3">
    <w:name w:val="heading 3"/>
    <w:basedOn w:val="Normal"/>
    <w:next w:val="Normal"/>
    <w:pPr>
      <w:keepNext w:val="1"/>
    </w:pPr>
    <w:rPr>
      <w:rFonts w:ascii="Arial" w:cs="Arial" w:eastAsia="Arial" w:hAnsi="Arial"/>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dONV368waYdS/bBBHMb2tIHQw==">CgMxLjAyCGguZ2pkZ3hzMgloLjMwajB6bGwyCWguMWZvYjl0ZTIJaC4zem55c2g3MgloLjJldDkycDAyCGgudHlqY3d0MgloLjNkeTZ2a20yCWguMXQzaDVzZjIJaC40ZDM0b2c4MgloLjJzOGV5bzEyCWguMTdkcDh2dTIJaC4zcmRjcmpuMgloLjI2aW4xcmcyCGgubG54Yno5MgloLjM1bmt1bjIyCWguMWtzdjR1djIJaC40NHNpbmlvOAByITFpYXplTGdTQnp1SnFid2NNeXVDSi1qSE1zNm0xM0k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